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0DE11F"/>
    <w:p w14:paraId="0D9F898D">
      <w:pPr>
        <w:pStyle w:val="151"/>
        <w:shd w:val="clear" w:color="auto" w:fill="auto"/>
        <w:spacing w:line="360" w:lineRule="auto"/>
      </w:pPr>
      <w:r>
        <w:t>Министерство науки и высшего образования Российской Федерации</w:t>
      </w:r>
    </w:p>
    <w:p w14:paraId="37C1DDD5">
      <w:pPr>
        <w:pStyle w:val="151"/>
        <w:shd w:val="clear" w:color="auto" w:fill="auto"/>
        <w:spacing w:line="360" w:lineRule="auto"/>
      </w:pPr>
      <w:r>
        <w:t xml:space="preserve">Федеральное государственное бюджетное учреждение науки Институт машиноведения им. А.А. Благонравова Российской академии наук </w:t>
      </w:r>
    </w:p>
    <w:p w14:paraId="6A54BFDF">
      <w:pPr>
        <w:pStyle w:val="151"/>
        <w:shd w:val="clear" w:color="auto" w:fill="auto"/>
        <w:spacing w:after="472" w:line="260" w:lineRule="exact"/>
      </w:pPr>
      <w:r>
        <w:t>(ИМАШ РАН)</w:t>
      </w:r>
    </w:p>
    <w:p w14:paraId="5F846274">
      <w:pPr>
        <w:pStyle w:val="151"/>
        <w:shd w:val="clear" w:color="auto" w:fill="auto"/>
        <w:spacing w:after="362" w:line="260" w:lineRule="exact"/>
      </w:pPr>
    </w:p>
    <w:p w14:paraId="30915D50">
      <w:pPr>
        <w:pStyle w:val="151"/>
        <w:shd w:val="clear" w:color="auto" w:fill="auto"/>
        <w:spacing w:after="362" w:line="260" w:lineRule="exact"/>
      </w:pPr>
    </w:p>
    <w:p w14:paraId="0D57CC37">
      <w:pPr>
        <w:pStyle w:val="151"/>
        <w:shd w:val="clear" w:color="auto" w:fill="auto"/>
        <w:spacing w:after="362" w:line="260" w:lineRule="exact"/>
      </w:pPr>
    </w:p>
    <w:p w14:paraId="6F8309EA">
      <w:pPr>
        <w:pStyle w:val="151"/>
        <w:shd w:val="clear" w:color="auto" w:fill="auto"/>
        <w:spacing w:after="362" w:line="260" w:lineRule="exact"/>
      </w:pPr>
    </w:p>
    <w:p w14:paraId="018C9C25">
      <w:pPr>
        <w:pStyle w:val="151"/>
        <w:shd w:val="clear" w:color="auto" w:fill="auto"/>
        <w:spacing w:after="362" w:line="260" w:lineRule="exact"/>
      </w:pPr>
    </w:p>
    <w:p w14:paraId="04A3CDFD">
      <w:pPr>
        <w:pStyle w:val="151"/>
        <w:shd w:val="clear" w:color="auto" w:fill="auto"/>
        <w:spacing w:after="362" w:line="260" w:lineRule="exact"/>
      </w:pPr>
      <w:r>
        <w:t>ПРОГРАММА</w:t>
      </w:r>
    </w:p>
    <w:p w14:paraId="05158E8C">
      <w:pPr>
        <w:pStyle w:val="151"/>
        <w:shd w:val="clear" w:color="auto" w:fill="auto"/>
        <w:spacing w:line="494" w:lineRule="exact"/>
        <w:rPr>
          <w:sz w:val="24"/>
          <w:szCs w:val="24"/>
        </w:rPr>
      </w:pPr>
      <w:r>
        <w:rPr>
          <w:sz w:val="24"/>
          <w:szCs w:val="24"/>
        </w:rPr>
        <w:t xml:space="preserve">вступительного экзамена в аспирантуру </w:t>
      </w:r>
    </w:p>
    <w:p w14:paraId="2290455E">
      <w:pPr>
        <w:pStyle w:val="15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 научной специальности </w:t>
      </w:r>
    </w:p>
    <w:p w14:paraId="19C4E406">
      <w:pPr>
        <w:pStyle w:val="151"/>
        <w:shd w:val="clear" w:color="auto" w:fill="auto"/>
        <w:tabs>
          <w:tab w:val="left" w:leader="underscore" w:pos="8545"/>
        </w:tabs>
        <w:spacing w:before="0" w:line="240" w:lineRule="auto"/>
        <w:ind w:left="23"/>
        <w:jc w:val="center"/>
        <w:rPr>
          <w:rFonts w:eastAsia="Calibri"/>
          <w:color w:val="auto"/>
          <w:sz w:val="24"/>
          <w:szCs w:val="24"/>
          <w:lang w:val="ru-RU" w:eastAsia="en-US"/>
        </w:rPr>
      </w:pPr>
      <w:bookmarkStart w:id="0" w:name="_Hlk116298713"/>
      <w:r>
        <w:rPr>
          <w:rFonts w:eastAsia="Calibri"/>
          <w:color w:val="auto"/>
          <w:sz w:val="24"/>
          <w:szCs w:val="24"/>
          <w:lang w:val="ru-RU" w:eastAsia="en-US"/>
        </w:rPr>
        <w:t xml:space="preserve">2.5.11. Наземные транспортно-технологические средства и комплексы </w:t>
      </w:r>
    </w:p>
    <w:p w14:paraId="28719217">
      <w:pPr>
        <w:pStyle w:val="151"/>
        <w:shd w:val="clear" w:color="auto" w:fill="auto"/>
        <w:tabs>
          <w:tab w:val="left" w:leader="underscore" w:pos="8545"/>
        </w:tabs>
        <w:spacing w:before="0" w:line="240" w:lineRule="auto"/>
        <w:ind w:left="23"/>
        <w:jc w:val="center"/>
        <w:rPr>
          <w:sz w:val="24"/>
          <w:szCs w:val="24"/>
          <w:lang w:val="ru-RU"/>
        </w:rPr>
      </w:pPr>
      <w:r>
        <w:rPr>
          <w:rFonts w:eastAsia="Calibri"/>
          <w:color w:val="auto"/>
          <w:sz w:val="24"/>
          <w:szCs w:val="24"/>
          <w:lang w:val="ru-RU" w:eastAsia="en-US"/>
        </w:rPr>
        <w:t>2.5.21 Машины, агрегаты и технологические процессы</w:t>
      </w:r>
      <w:bookmarkEnd w:id="0"/>
    </w:p>
    <w:p w14:paraId="658F197C">
      <w:pPr>
        <w:pStyle w:val="151"/>
        <w:shd w:val="clear" w:color="auto" w:fill="auto"/>
        <w:spacing w:after="5468" w:line="494" w:lineRule="exact"/>
        <w:rPr>
          <w:rFonts w:hint="default"/>
          <w:lang w:val="ru-RU"/>
        </w:rPr>
      </w:pPr>
    </w:p>
    <w:p w14:paraId="42E64186">
      <w:pPr>
        <w:pStyle w:val="151"/>
        <w:shd w:val="clear" w:color="auto" w:fill="auto"/>
        <w:spacing w:line="260" w:lineRule="exact"/>
      </w:pPr>
      <w:r>
        <w:t>Москва, 202</w:t>
      </w:r>
      <w:r>
        <w:rPr>
          <w:rFonts w:hint="default"/>
          <w:lang w:val="ru-RU"/>
        </w:rPr>
        <w:t>5</w:t>
      </w:r>
      <w:r>
        <w:t xml:space="preserve"> г.</w:t>
      </w:r>
    </w:p>
    <w:p w14:paraId="48D5E3CF">
      <w:pPr>
        <w:pStyle w:val="151"/>
        <w:shd w:val="clear" w:color="auto" w:fill="auto"/>
        <w:spacing w:line="260" w:lineRule="exact"/>
      </w:pPr>
    </w:p>
    <w:p w14:paraId="7B252393">
      <w:pPr>
        <w:pStyle w:val="151"/>
        <w:shd w:val="clear" w:color="auto" w:fill="auto"/>
        <w:spacing w:line="260" w:lineRule="exact"/>
      </w:pPr>
    </w:p>
    <w:p w14:paraId="36ED8C87">
      <w:pPr>
        <w:rPr>
          <w:lang w:val="en-US"/>
        </w:rPr>
      </w:pPr>
    </w:p>
    <w:p w14:paraId="476F486A">
      <w:pPr>
        <w:rPr>
          <w:lang w:val="en-US"/>
        </w:rPr>
      </w:pPr>
    </w:p>
    <w:p w14:paraId="31D3AC6E">
      <w:pPr>
        <w:pStyle w:val="15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9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>Общая классификация, назначение, устройство, принцип работы, направления и тенденции развития, наземных транспортно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технологических машин. </w:t>
      </w:r>
    </w:p>
    <w:p w14:paraId="1D93B775">
      <w:pPr>
        <w:pStyle w:val="15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9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>Металлические материалы для узлов трения различного назначения. Рекомендуемые области использования антифрикционных сплавов</w:t>
      </w:r>
    </w:p>
    <w:p w14:paraId="236A374B">
      <w:pPr>
        <w:pStyle w:val="15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>Общая характеристика надежности транспортно-технологических машин, способы определения, нормирования и опт</w:t>
      </w:r>
      <w:bookmarkStart w:id="1" w:name="_GoBack"/>
      <w:bookmarkEnd w:id="1"/>
      <w:r>
        <w:rPr>
          <w:rFonts w:hint="default" w:ascii="Times New Roman" w:hAnsi="Times New Roman" w:cs="Times New Roman"/>
          <w:sz w:val="24"/>
          <w:szCs w:val="24"/>
        </w:rPr>
        <w:t>имизации показателей надежности. Характеристика действующих нагрузок и их влияние на работу машин, методы измерения нагрузок, применяемая аппаратура и приборы.</w:t>
      </w:r>
    </w:p>
    <w:p w14:paraId="3357F580">
      <w:pPr>
        <w:pStyle w:val="15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9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hint="default" w:ascii="Times New Roman" w:hAnsi="Times New Roman" w:cs="Times New Roman"/>
          <w:sz w:val="24"/>
          <w:szCs w:val="24"/>
        </w:rPr>
        <w:t xml:space="preserve">Адгезия и когезия. Виды адгезионного взаимодействия. Пленки на поверхностях твердых тел и механизмы их образования. </w:t>
      </w:r>
    </w:p>
    <w:p w14:paraId="1782FD7D">
      <w:pPr>
        <w:pStyle w:val="15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9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hint="default" w:ascii="Times New Roman" w:hAnsi="Times New Roman" w:cs="Times New Roman"/>
          <w:sz w:val="24"/>
          <w:szCs w:val="24"/>
        </w:rPr>
        <w:t xml:space="preserve">Двигатели внутреннего сгорания. Принцип работы, основные элементы, классификация. Требования к ДВС, сравнение различных типов ДВС. </w:t>
      </w:r>
    </w:p>
    <w:p w14:paraId="2EE0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6.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Производственные и технологические процессы в машиностроении. Элементы технологического процесса.</w:t>
      </w:r>
    </w:p>
    <w:p w14:paraId="5DB7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7.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Зависимости коэффициента внешнего трения от вида контакта, нагрузки, температуры, скорости скольжения, свойств материалов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пары трения. </w:t>
      </w:r>
    </w:p>
    <w:p w14:paraId="0625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8.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Условия и способы хранения машин. Подготовка машин и агрегатов к хранению. Консервация машин и их деталей. Способы хранения агрегатов и материалов. </w:t>
      </w:r>
    </w:p>
    <w:p w14:paraId="21C1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9.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Классификация материалов. Требования, предъявляемые к материалам деталей оборудования. Сопротивление истиранию, коррозионная стойкость, отсутствие химического взаимодействия с сырьем и готовым продуктом. </w:t>
      </w:r>
    </w:p>
    <w:p w14:paraId="5C7A5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10.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Цветные металлы и сплавы. Неметаллические материалы (неорганические материалы, КМ на органической основе). Защита от коррозии.</w:t>
      </w:r>
    </w:p>
    <w:p w14:paraId="55251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11.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Расчет производительности. Производительность машин непрерывного и циклического действия. Исходные данные для расчета производительности. </w:t>
      </w:r>
    </w:p>
    <w:p w14:paraId="40C1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12.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Расчет потребной мощности привода рабочих органов машин. Последовательность проведения расчетов при конструировании машин и агрегатов.</w:t>
      </w:r>
    </w:p>
    <w:p w14:paraId="1931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13.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Показатели качества изготовления машин и агрегатов. Обеспечение качества функционирования машин и аппаратов (по отраслям).</w:t>
      </w:r>
    </w:p>
    <w:p w14:paraId="4375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14.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Система управления качеством функционирования машин и агрегатов на всех стадиях жизненного цикла. Качество функционирования изделий. Эксплуатационные показатели.</w:t>
      </w:r>
    </w:p>
    <w:p w14:paraId="68F7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15.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Методы и способы обработки металлов резанием и давлением. Металлорежущие станки и инструмент. </w:t>
      </w:r>
    </w:p>
    <w:p w14:paraId="3ABF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16.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Технологические процессы получения заготовок. Технологии литейного производства.</w:t>
      </w:r>
    </w:p>
    <w:p w14:paraId="748B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17.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Ремонтопригодность машин и агрегатов. Количественное описание надежности. </w:t>
      </w:r>
    </w:p>
    <w:p w14:paraId="607F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18.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Долговечность элементов машин. Технический ресурс. Пути повышения надежности.</w:t>
      </w:r>
    </w:p>
    <w:p w14:paraId="068F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19.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Разработка и повышение эффективности методов технического обслуживания, диагностики, ремонтопригодности и технологии ремонта машин и агрегатов в целях обеспечения надежной и безопасной эксплуатации и продления ресурса. </w:t>
      </w:r>
    </w:p>
    <w:p w14:paraId="3A22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20.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Виды и состав технического обслуживания машин и агрегатов. Износ оборудования. Виды износа и методы их расчета. </w:t>
      </w:r>
    </w:p>
    <w:p w14:paraId="078E9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21.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Двигатели внутреннего сгорания, внешние характеристики. специальные требования к двигателям, используемым на строительных, дорожных и подъемно-транспортных машинах. </w:t>
      </w:r>
    </w:p>
    <w:p w14:paraId="35B2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22.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Гидроприводы и гидравлическое оборудование. Типовые схемы объёмных гидроприводов.</w:t>
      </w:r>
    </w:p>
    <w:p w14:paraId="3D6B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23.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Основы автоматизации систем управления строительных, дорожных и подъемно-транспортных машин. Классификация систем.</w:t>
      </w:r>
    </w:p>
    <w:p w14:paraId="22B4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24.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Основные принципиальные схемы автоматизации управления. </w:t>
      </w:r>
    </w:p>
    <w:p w14:paraId="431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25.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Характеристика и методы определения нагрузок, действующих на элементы, узлы и машину в целом. Случайный характер изменения нагрузок, действующих на рабочее оборудование.</w:t>
      </w:r>
    </w:p>
    <w:p w14:paraId="3CA2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26.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Основные статистические свойства и характеристики нагрузок.</w:t>
      </w:r>
    </w:p>
    <w:p w14:paraId="4CE0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27.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Обеспечение и повышение основных показателей надежности машин и комплектов на этапе проектирования.</w:t>
      </w:r>
    </w:p>
    <w:p w14:paraId="477E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28.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Характеристика факторов, определяющих надёжность машин: конструктивные, технологические, эксплуатационные. Выбор показателей надёжности и установление их значений.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 TOC \o "1-3" \h \z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single"/>
          <w:lang w:val="ru-RU"/>
        </w:rPr>
        <w:t xml:space="preserve">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</w:p>
    <w:p w14:paraId="507B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79C21311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1605DFFD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2F6F983F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</w:p>
    <w:p w14:paraId="3FD415C4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</w:pPr>
    </w:p>
    <w:p w14:paraId="512A52D9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sz w:val="24"/>
          <w:szCs w:val="24"/>
          <w:lang w:val="ru-RU"/>
        </w:rPr>
      </w:pPr>
    </w:p>
    <w:p w14:paraId="57AF81E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0F1772C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2FDA0DE8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lang w:val="ru-RU"/>
        </w:rPr>
      </w:pPr>
    </w:p>
    <w:p w14:paraId="6F1F2CA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00208B5B">
      <w:pPr>
        <w:rPr>
          <w:lang w:val="en-US"/>
        </w:rPr>
      </w:pPr>
    </w:p>
    <w:sectPr>
      <w:pgSz w:w="11906" w:h="16838"/>
      <w:pgMar w:top="1134" w:right="845" w:bottom="1134" w:left="170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352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2762EC"/>
    <w:rsid w:val="19D865F5"/>
    <w:rsid w:val="3D2E204C"/>
    <w:rsid w:val="4E18352B"/>
    <w:rsid w:val="50CF0DEA"/>
    <w:rsid w:val="55E54457"/>
    <w:rsid w:val="580E0C05"/>
    <w:rsid w:val="5DDC23E1"/>
    <w:rsid w:val="66753983"/>
    <w:rsid w:val="7F3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Основной текст (2)"/>
    <w:basedOn w:val="1"/>
    <w:qFormat/>
    <w:uiPriority w:val="0"/>
    <w:pPr>
      <w:shd w:val="clear" w:color="auto" w:fill="FFFFFF"/>
      <w:spacing w:line="379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customStyle="1" w:styleId="152">
    <w:name w:val="Основной текст4"/>
    <w:basedOn w:val="1"/>
    <w:qFormat/>
    <w:uiPriority w:val="0"/>
    <w:pPr>
      <w:shd w:val="clear" w:color="auto" w:fill="FFFFFF"/>
      <w:spacing w:before="6360" w:after="120" w:line="0" w:lineRule="atLeast"/>
      <w:ind w:hanging="360"/>
      <w:jc w:val="center"/>
    </w:pPr>
    <w:rPr>
      <w:rFonts w:ascii="Times New Roman" w:hAnsi="Times New Roman" w:eastAsia="Times New Roman" w:cs="Times New Roman"/>
      <w:sz w:val="23"/>
      <w:szCs w:val="23"/>
    </w:rPr>
  </w:style>
  <w:style w:type="paragraph" w:customStyle="1" w:styleId="153">
    <w:name w:val="Сноска3"/>
    <w:basedOn w:val="1"/>
    <w:qFormat/>
    <w:uiPriority w:val="0"/>
    <w:pPr>
      <w:shd w:val="clear" w:color="auto" w:fill="FFFFFF"/>
      <w:spacing w:line="230" w:lineRule="exact"/>
      <w:jc w:val="both"/>
    </w:pPr>
    <w:rPr>
      <w:rFonts w:ascii="Times New Roman" w:hAnsi="Times New Roman" w:eastAsia="Times New Roman" w:cs="Times New Roman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2025-10-06T14:23:00Z</dcterms:created>
  <dc:creator>Сащенко</dc:creator>
  <cp:lastModifiedBy>Сащенко</cp:lastModifiedBy>
  <dcterms:modified xsi:type="dcterms:W3CDTF">2025-10-06T16:17:43Z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09A7CEC6ACBA490D8198707AEC56E277_13</vt:lpwstr>
  </property>
</Properties>
</file>